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8FE3EC1"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80170B">
        <w:rPr>
          <w:rStyle w:val="Strong"/>
          <w:b/>
          <w:bCs w:val="0"/>
          <w:sz w:val="24"/>
          <w:szCs w:val="24"/>
        </w:rPr>
        <w:t>46-G0</w:t>
      </w:r>
      <w:r w:rsidR="002F0B33">
        <w:rPr>
          <w:rStyle w:val="Strong"/>
          <w:b/>
          <w:bCs w:val="0"/>
          <w:sz w:val="24"/>
          <w:szCs w:val="24"/>
        </w:rPr>
        <w:t>0</w:t>
      </w:r>
      <w:r w:rsidR="009E514D">
        <w:rPr>
          <w:rStyle w:val="Strong"/>
          <w:b/>
          <w:bCs w:val="0"/>
          <w:sz w:val="24"/>
          <w:szCs w:val="24"/>
        </w:rPr>
        <w:t>4</w:t>
      </w:r>
      <w:r w:rsidR="0080170B">
        <w:rPr>
          <w:rStyle w:val="Strong"/>
          <w:b/>
          <w:bCs w:val="0"/>
          <w:sz w:val="24"/>
          <w:szCs w:val="24"/>
        </w:rPr>
        <w:t>-2</w:t>
      </w:r>
      <w:r w:rsidR="009E514D">
        <w:rPr>
          <w:rStyle w:val="Strong"/>
          <w:b/>
          <w:bCs w:val="0"/>
          <w:sz w:val="24"/>
          <w:szCs w:val="24"/>
        </w:rPr>
        <w:t>6</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tcPr>
          <w:p w14:paraId="6B7C983D" w14:textId="5E13D761"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w:t>
            </w:r>
            <w:r w:rsidR="00C87552">
              <w:rPr>
                <w:rFonts w:asciiTheme="minorHAnsi" w:hAnsiTheme="minorHAnsi"/>
                <w:sz w:val="22"/>
                <w:szCs w:val="22"/>
              </w:rPr>
              <w:t>nce in manufacturing the similar product in the market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tcPr>
          <w:p w14:paraId="2D6B8CBC" w14:textId="768A0B16" w:rsidR="00011495" w:rsidRDefault="00011495" w:rsidP="00C66DC8">
            <w:pPr>
              <w:pStyle w:val="TableContents"/>
              <w:numPr>
                <w:ilvl w:val="0"/>
                <w:numId w:val="9"/>
              </w:numPr>
              <w:rPr>
                <w:rFonts w:asciiTheme="minorHAnsi" w:hAnsiTheme="minorHAnsi"/>
                <w:sz w:val="22"/>
                <w:szCs w:val="22"/>
              </w:rPr>
            </w:pPr>
            <w:r>
              <w:rPr>
                <w:rFonts w:asciiTheme="minorHAnsi" w:hAnsiTheme="minorHAnsi"/>
                <w:sz w:val="22"/>
                <w:szCs w:val="22"/>
              </w:rPr>
              <w:t>Production stage clearly stated.</w:t>
            </w:r>
          </w:p>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tcPr>
          <w:p w14:paraId="065AB9B5" w14:textId="774FEE44" w:rsidR="00011495" w:rsidRDefault="00011495"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Installation and Commissioning onsite should be clearly stated</w:t>
            </w:r>
            <w:r w:rsidR="002E0BDA">
              <w:rPr>
                <w:rFonts w:asciiTheme="minorHAnsi" w:eastAsiaTheme="minorEastAsia" w:hAnsiTheme="minorHAnsi"/>
                <w:color w:val="000000"/>
                <w:sz w:val="22"/>
                <w:lang w:val="en-GB"/>
              </w:rPr>
              <w:t xml:space="preserve"> (Rate and Timeframe)</w:t>
            </w:r>
            <w:r>
              <w:rPr>
                <w:rFonts w:asciiTheme="minorHAnsi" w:eastAsiaTheme="minorEastAsia" w:hAnsiTheme="minorHAnsi"/>
                <w:color w:val="000000"/>
                <w:sz w:val="22"/>
                <w:lang w:val="en-GB"/>
              </w:rPr>
              <w:t xml:space="preserve">. </w:t>
            </w:r>
          </w:p>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A3A88F1" w14:textId="6486BF8A" w:rsidR="00C87552" w:rsidRPr="00C66DC8" w:rsidRDefault="00C87552"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Providing of spare parts within a life span of 10 years</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vAlign w:val="center"/>
          </w:tcPr>
          <w:p w14:paraId="4C399CE7" w14:textId="4C15556C"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8A2BF16"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002E0BDA">
        <w:rPr>
          <w:rFonts w:ascii="Calibri" w:hAnsi="Calibri"/>
          <w:lang w:val="en-GB" w:eastAsia="ko-KR"/>
        </w:rPr>
        <w:t>Cost breakdown shall</w:t>
      </w:r>
      <w:r w:rsidR="00011495">
        <w:rPr>
          <w:rFonts w:ascii="Calibri" w:hAnsi="Calibri"/>
          <w:lang w:val="en-GB" w:eastAsia="ko-KR"/>
        </w:rPr>
        <w:t xml:space="preserve"> clearly state the cost of the procuring goods, installation and commissioning</w:t>
      </w:r>
      <w:r w:rsidR="002E0BDA">
        <w:rPr>
          <w:rFonts w:ascii="Calibri" w:hAnsi="Calibri"/>
          <w:lang w:val="en-GB" w:eastAsia="ko-KR"/>
        </w:rPr>
        <w:t xml:space="preserve"> rate</w:t>
      </w:r>
      <w:r w:rsidR="00011495">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70346FD"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00E71CEB">
        <w:rPr>
          <w:rFonts w:ascii="Calibri" w:hAnsi="Calibri"/>
          <w:b/>
          <w:lang w:val="en-GB"/>
        </w:rPr>
        <w:t>lc</w:t>
      </w:r>
      <w:r w:rsidRPr="00DF2302">
        <w:rPr>
          <w:rFonts w:ascii="Calibri" w:hAnsi="Calibri"/>
          <w:b/>
          <w:lang w:val="en-GB"/>
        </w:rPr>
        <w:t xml:space="preserve"> / </w:t>
      </w:r>
      <w:r w:rsidR="00E71CEB">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5753DC">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0C3D0" w14:textId="77777777" w:rsidR="00A04899" w:rsidRDefault="00A04899">
      <w:r>
        <w:separator/>
      </w:r>
    </w:p>
  </w:endnote>
  <w:endnote w:type="continuationSeparator" w:id="0">
    <w:p w14:paraId="093E5469" w14:textId="77777777" w:rsidR="00A04899" w:rsidRDefault="00A0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2E0BDA" w:rsidRPr="002E0BDA">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2E0BDA" w:rsidRPr="002E0BDA">
      <w:rPr>
        <w:noProof/>
        <w:color w:val="17365D" w:themeColor="text2" w:themeShade="BF"/>
        <w:lang w:val="sv-SE"/>
      </w:rPr>
      <w:t>4</w:t>
    </w:r>
    <w:r>
      <w:rPr>
        <w:color w:val="17365D" w:themeColor="text2" w:themeShade="BF"/>
      </w:rPr>
      <w:fldChar w:fldCharType="end"/>
    </w:r>
  </w:p>
  <w:p w14:paraId="213B5D63" w14:textId="51174A14" w:rsidR="00D15CF2" w:rsidRDefault="004878F3" w:rsidP="004878F3">
    <w:pPr>
      <w:pStyle w:val="Footer"/>
    </w:pPr>
    <w:r>
      <w:fldChar w:fldCharType="begin"/>
    </w:r>
    <w:r>
      <w:instrText xml:space="preserve"> DATE \@ "yyyy-MM-dd" </w:instrText>
    </w:r>
    <w:r>
      <w:fldChar w:fldCharType="separate"/>
    </w:r>
    <w:r w:rsidR="009E514D">
      <w:rPr>
        <w:noProof/>
      </w:rPr>
      <w:t>2026-01-28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B522E" w14:textId="77777777" w:rsidR="00A04899" w:rsidRDefault="00A04899">
      <w:r>
        <w:separator/>
      </w:r>
    </w:p>
  </w:footnote>
  <w:footnote w:type="continuationSeparator" w:id="0">
    <w:p w14:paraId="2C39E19F" w14:textId="77777777" w:rsidR="00A04899" w:rsidRDefault="00A04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93193E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77919170">
    <w:abstractNumId w:val="2"/>
  </w:num>
  <w:num w:numId="2" w16cid:durableId="2008290858">
    <w:abstractNumId w:val="9"/>
  </w:num>
  <w:num w:numId="3" w16cid:durableId="561840594">
    <w:abstractNumId w:val="8"/>
  </w:num>
  <w:num w:numId="4" w16cid:durableId="855578038">
    <w:abstractNumId w:val="7"/>
  </w:num>
  <w:num w:numId="5" w16cid:durableId="907039188">
    <w:abstractNumId w:val="0"/>
  </w:num>
  <w:num w:numId="6" w16cid:durableId="798497280">
    <w:abstractNumId w:val="5"/>
  </w:num>
  <w:num w:numId="7" w16cid:durableId="1195770258">
    <w:abstractNumId w:val="1"/>
  </w:num>
  <w:num w:numId="8" w16cid:durableId="738480486">
    <w:abstractNumId w:val="4"/>
  </w:num>
  <w:num w:numId="9" w16cid:durableId="1726566567">
    <w:abstractNumId w:val="3"/>
  </w:num>
  <w:num w:numId="10" w16cid:durableId="203836672">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5"/>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098F"/>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BDA"/>
    <w:rsid w:val="002E16C8"/>
    <w:rsid w:val="002E302D"/>
    <w:rsid w:val="002E3763"/>
    <w:rsid w:val="002E3B22"/>
    <w:rsid w:val="002E43E9"/>
    <w:rsid w:val="002E4B33"/>
    <w:rsid w:val="002E56DE"/>
    <w:rsid w:val="002E572C"/>
    <w:rsid w:val="002E5D6F"/>
    <w:rsid w:val="002E7242"/>
    <w:rsid w:val="002F0B33"/>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53DC"/>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105"/>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39B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70B"/>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4C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355"/>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514D"/>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899"/>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A90"/>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552"/>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66C9"/>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1CE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38FF14-D9D6-434A-8F9A-ACD001F8D6E4}">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1</Pages>
  <Words>745</Words>
  <Characters>4247</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12</cp:revision>
  <cp:lastPrinted>2016-10-18T02:57:00Z</cp:lastPrinted>
  <dcterms:created xsi:type="dcterms:W3CDTF">2023-10-31T01:19:00Z</dcterms:created>
  <dcterms:modified xsi:type="dcterms:W3CDTF">2026-01-28T01:41:00Z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